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12B2" w:rsidRPr="00FF4622" w:rsidRDefault="003B422E" w:rsidP="003B422E">
      <w:pPr>
        <w:jc w:val="center"/>
        <w:rPr>
          <w:rFonts w:asciiTheme="majorHAnsi" w:hAnsiTheme="majorHAnsi" w:cs="Times New Roman"/>
          <w:b/>
          <w:sz w:val="28"/>
          <w:szCs w:val="28"/>
        </w:rPr>
      </w:pPr>
      <w:r w:rsidRPr="00FF4622">
        <w:rPr>
          <w:rFonts w:asciiTheme="majorHAnsi" w:hAnsiTheme="majorHAnsi" w:cs="Times New Roman"/>
          <w:b/>
          <w:sz w:val="28"/>
          <w:szCs w:val="28"/>
        </w:rPr>
        <w:t>Informace pro veřejnost v zóně havarijního plánování pro objekty zařazené do skupiny B</w:t>
      </w:r>
    </w:p>
    <w:p w:rsidR="00FF4622" w:rsidRPr="000C4E60" w:rsidRDefault="00FF4622" w:rsidP="00FF4622">
      <w:pPr>
        <w:rPr>
          <w:rFonts w:asciiTheme="majorHAnsi" w:hAnsiTheme="majorHAnsi" w:cs="Times New Roman"/>
          <w:b/>
          <w:sz w:val="24"/>
          <w:szCs w:val="24"/>
          <w:u w:val="single"/>
        </w:rPr>
      </w:pPr>
      <w:r w:rsidRPr="000C4E60">
        <w:rPr>
          <w:rFonts w:asciiTheme="majorHAnsi" w:hAnsiTheme="majorHAnsi" w:cs="Times New Roman"/>
          <w:b/>
          <w:sz w:val="24"/>
          <w:szCs w:val="24"/>
          <w:u w:val="single"/>
        </w:rPr>
        <w:t>1. Identifikace objektu</w:t>
      </w:r>
    </w:p>
    <w:p w:rsidR="00FF4622" w:rsidRPr="00596B80" w:rsidRDefault="00596B80" w:rsidP="00FF4622">
      <w:pPr>
        <w:spacing w:after="0"/>
        <w:rPr>
          <w:rFonts w:asciiTheme="majorHAnsi" w:hAnsiTheme="majorHAnsi" w:cs="Times New Roman"/>
          <w:b/>
          <w:sz w:val="28"/>
          <w:szCs w:val="28"/>
        </w:rPr>
      </w:pPr>
      <w:r>
        <w:rPr>
          <w:rFonts w:asciiTheme="majorHAnsi" w:hAnsiTheme="majorHAnsi" w:cs="Times New Roman"/>
          <w:b/>
          <w:sz w:val="28"/>
          <w:szCs w:val="28"/>
        </w:rPr>
        <w:t>DIAMO, státní podnik, odštěpný závod Těžba a úprava uranu</w:t>
      </w:r>
      <w:r w:rsidR="00FF4622" w:rsidRPr="000C4E60">
        <w:rPr>
          <w:rFonts w:asciiTheme="majorHAnsi" w:hAnsiTheme="majorHAnsi" w:cs="Times New Roman"/>
          <w:b/>
          <w:sz w:val="28"/>
          <w:szCs w:val="28"/>
        </w:rPr>
        <w:t>,</w:t>
      </w:r>
      <w:r>
        <w:rPr>
          <w:rFonts w:asciiTheme="majorHAnsi" w:hAnsiTheme="majorHAnsi" w:cs="Times New Roman"/>
          <w:b/>
          <w:sz w:val="28"/>
          <w:szCs w:val="28"/>
        </w:rPr>
        <w:t xml:space="preserve"> </w:t>
      </w:r>
      <w:r w:rsidR="00FF4622" w:rsidRPr="00596B80">
        <w:rPr>
          <w:rFonts w:asciiTheme="majorHAnsi" w:hAnsiTheme="majorHAnsi" w:cs="Times New Roman"/>
          <w:b/>
          <w:sz w:val="24"/>
          <w:szCs w:val="24"/>
        </w:rPr>
        <w:t xml:space="preserve">se sídlem </w:t>
      </w:r>
      <w:r w:rsidRPr="00596B80">
        <w:rPr>
          <w:rFonts w:asciiTheme="majorHAnsi" w:hAnsiTheme="majorHAnsi" w:cs="Times New Roman"/>
          <w:b/>
          <w:sz w:val="24"/>
          <w:szCs w:val="24"/>
        </w:rPr>
        <w:t>Pod Vinicí 84, 471 27 Stráž pod Ralskem, IČ: 00002739</w:t>
      </w:r>
    </w:p>
    <w:p w:rsidR="00FF4622" w:rsidRDefault="00FF4622" w:rsidP="00FF4622">
      <w:pPr>
        <w:spacing w:after="0"/>
        <w:rPr>
          <w:rFonts w:asciiTheme="majorHAnsi" w:hAnsiTheme="majorHAnsi" w:cs="Times New Roman"/>
          <w:sz w:val="24"/>
          <w:szCs w:val="24"/>
        </w:rPr>
      </w:pPr>
    </w:p>
    <w:p w:rsidR="00FF4622" w:rsidRPr="00793E0E" w:rsidRDefault="007170F3" w:rsidP="00FF4622">
      <w:pPr>
        <w:spacing w:after="0"/>
        <w:rPr>
          <w:rFonts w:asciiTheme="majorHAnsi" w:hAnsiTheme="majorHAnsi" w:cs="Times New Roman"/>
          <w:sz w:val="24"/>
          <w:szCs w:val="24"/>
        </w:rPr>
      </w:pPr>
      <w:r>
        <w:rPr>
          <w:rFonts w:asciiTheme="majorHAnsi" w:hAnsiTheme="majorHAnsi" w:cs="Times New Roman"/>
          <w:sz w:val="24"/>
          <w:szCs w:val="24"/>
        </w:rPr>
        <w:t xml:space="preserve"> </w:t>
      </w:r>
      <w:r w:rsidR="00FF4622" w:rsidRPr="00C25ACB">
        <w:rPr>
          <w:rFonts w:asciiTheme="majorHAnsi" w:hAnsiTheme="majorHAnsi" w:cs="Times New Roman"/>
          <w:b/>
          <w:sz w:val="24"/>
          <w:szCs w:val="24"/>
          <w:u w:val="single"/>
        </w:rPr>
        <w:t>2. Dotčené subjekty podávající informaci</w:t>
      </w:r>
    </w:p>
    <w:p w:rsidR="00FF4622" w:rsidRPr="00C25ACB" w:rsidRDefault="00FF4622" w:rsidP="00FF4622">
      <w:pPr>
        <w:spacing w:after="0"/>
        <w:rPr>
          <w:rFonts w:asciiTheme="majorHAnsi" w:hAnsiTheme="majorHAnsi" w:cs="Times New Roman"/>
          <w:sz w:val="24"/>
          <w:szCs w:val="24"/>
          <w:u w:val="single"/>
        </w:rPr>
      </w:pPr>
    </w:p>
    <w:p w:rsidR="00FF4622" w:rsidRPr="00C25ACB" w:rsidRDefault="00FF4622" w:rsidP="00FF4622">
      <w:pPr>
        <w:pStyle w:val="Odstavecseseznamem"/>
        <w:numPr>
          <w:ilvl w:val="0"/>
          <w:numId w:val="1"/>
        </w:numPr>
        <w:spacing w:after="0"/>
        <w:jc w:val="both"/>
        <w:rPr>
          <w:rFonts w:asciiTheme="majorHAnsi" w:hAnsiTheme="majorHAnsi" w:cs="Times New Roman"/>
          <w:sz w:val="24"/>
          <w:szCs w:val="24"/>
        </w:rPr>
      </w:pPr>
      <w:r w:rsidRPr="00C25ACB">
        <w:rPr>
          <w:rFonts w:asciiTheme="majorHAnsi" w:hAnsiTheme="majorHAnsi" w:cs="Times New Roman"/>
          <w:sz w:val="24"/>
          <w:szCs w:val="24"/>
        </w:rPr>
        <w:t>Krajský úřad Libereckého kraje, odbor životního prostředí a zemědělství, U Jezu 642/2a, Liberec,</w:t>
      </w:r>
    </w:p>
    <w:p w:rsidR="00FF4622" w:rsidRPr="00C25ACB" w:rsidRDefault="00FF4622" w:rsidP="00FF4622">
      <w:pPr>
        <w:pStyle w:val="Odstavecseseznamem"/>
        <w:numPr>
          <w:ilvl w:val="0"/>
          <w:numId w:val="1"/>
        </w:numPr>
        <w:spacing w:after="0"/>
        <w:jc w:val="both"/>
        <w:rPr>
          <w:rFonts w:asciiTheme="majorHAnsi" w:hAnsiTheme="majorHAnsi" w:cs="Times New Roman"/>
          <w:sz w:val="24"/>
          <w:szCs w:val="24"/>
        </w:rPr>
      </w:pPr>
      <w:r w:rsidRPr="00C25ACB">
        <w:rPr>
          <w:rFonts w:asciiTheme="majorHAnsi" w:hAnsiTheme="majorHAnsi" w:cs="Times New Roman"/>
          <w:sz w:val="24"/>
          <w:szCs w:val="24"/>
        </w:rPr>
        <w:t>Hasičský záchranný sbor Libereckého kraje, oddělení ochrany obyvatelstva a krizového řízení, Barvířská 29/10, Liberec,</w:t>
      </w:r>
    </w:p>
    <w:p w:rsidR="00FF4622" w:rsidRPr="00C25ACB" w:rsidRDefault="00FF4622" w:rsidP="00FF4622">
      <w:pPr>
        <w:pStyle w:val="Odstavecseseznamem"/>
        <w:numPr>
          <w:ilvl w:val="0"/>
          <w:numId w:val="1"/>
        </w:numPr>
        <w:spacing w:after="0"/>
        <w:jc w:val="both"/>
        <w:rPr>
          <w:rFonts w:asciiTheme="majorHAnsi" w:hAnsiTheme="majorHAnsi" w:cs="Times New Roman"/>
          <w:sz w:val="24"/>
          <w:szCs w:val="24"/>
        </w:rPr>
      </w:pPr>
      <w:r w:rsidRPr="00C25ACB">
        <w:rPr>
          <w:rFonts w:asciiTheme="majorHAnsi" w:hAnsiTheme="majorHAnsi" w:cs="Times New Roman"/>
          <w:sz w:val="24"/>
          <w:szCs w:val="24"/>
        </w:rPr>
        <w:t>Krajská hygienická stanice Libereckého kraje, Husova tř. 64, Liberec</w:t>
      </w:r>
      <w:r w:rsidR="000C4E60">
        <w:rPr>
          <w:rFonts w:asciiTheme="majorHAnsi" w:hAnsiTheme="majorHAnsi" w:cs="Times New Roman"/>
          <w:sz w:val="24"/>
          <w:szCs w:val="24"/>
        </w:rPr>
        <w:t>,</w:t>
      </w:r>
    </w:p>
    <w:p w:rsidR="00FF4622" w:rsidRPr="00C25ACB" w:rsidRDefault="00FF4622" w:rsidP="00FF4622">
      <w:pPr>
        <w:pStyle w:val="Odstavecseseznamem"/>
        <w:numPr>
          <w:ilvl w:val="0"/>
          <w:numId w:val="1"/>
        </w:numPr>
        <w:spacing w:after="0"/>
        <w:jc w:val="both"/>
        <w:rPr>
          <w:rFonts w:asciiTheme="majorHAnsi" w:hAnsiTheme="majorHAnsi" w:cs="Times New Roman"/>
          <w:sz w:val="24"/>
          <w:szCs w:val="24"/>
        </w:rPr>
      </w:pPr>
      <w:r w:rsidRPr="00C25ACB">
        <w:rPr>
          <w:rFonts w:asciiTheme="majorHAnsi" w:hAnsiTheme="majorHAnsi" w:cs="Times New Roman"/>
          <w:sz w:val="24"/>
          <w:szCs w:val="24"/>
        </w:rPr>
        <w:t xml:space="preserve">Česká inspekce životního prostředí, OI Liberec, třída 1. </w:t>
      </w:r>
      <w:r w:rsidR="00793E0E">
        <w:rPr>
          <w:rFonts w:asciiTheme="majorHAnsi" w:hAnsiTheme="majorHAnsi" w:cs="Times New Roman"/>
          <w:sz w:val="24"/>
          <w:szCs w:val="24"/>
        </w:rPr>
        <w:t>m</w:t>
      </w:r>
      <w:r w:rsidRPr="00C25ACB">
        <w:rPr>
          <w:rFonts w:asciiTheme="majorHAnsi" w:hAnsiTheme="majorHAnsi" w:cs="Times New Roman"/>
          <w:sz w:val="24"/>
          <w:szCs w:val="24"/>
        </w:rPr>
        <w:t>áje 858/26, Liberec</w:t>
      </w:r>
      <w:r w:rsidR="000C4E60">
        <w:rPr>
          <w:rFonts w:asciiTheme="majorHAnsi" w:hAnsiTheme="majorHAnsi" w:cs="Times New Roman"/>
          <w:sz w:val="24"/>
          <w:szCs w:val="24"/>
        </w:rPr>
        <w:t>,</w:t>
      </w:r>
    </w:p>
    <w:p w:rsidR="00FF4622" w:rsidRDefault="00596B80" w:rsidP="00FF4622">
      <w:pPr>
        <w:pStyle w:val="Odstavecseseznamem"/>
        <w:numPr>
          <w:ilvl w:val="0"/>
          <w:numId w:val="1"/>
        </w:numPr>
        <w:spacing w:after="0"/>
        <w:jc w:val="both"/>
        <w:rPr>
          <w:rFonts w:asciiTheme="majorHAnsi" w:hAnsiTheme="majorHAnsi" w:cs="Times New Roman"/>
          <w:sz w:val="24"/>
          <w:szCs w:val="24"/>
        </w:rPr>
      </w:pPr>
      <w:r>
        <w:rPr>
          <w:rFonts w:asciiTheme="majorHAnsi" w:hAnsiTheme="majorHAnsi" w:cs="Times New Roman"/>
          <w:sz w:val="24"/>
          <w:szCs w:val="24"/>
        </w:rPr>
        <w:t xml:space="preserve">Město Stráž pod Ralskem, </w:t>
      </w:r>
      <w:r w:rsidR="007170F3">
        <w:rPr>
          <w:rFonts w:asciiTheme="majorHAnsi" w:hAnsiTheme="majorHAnsi" w:cs="Times New Roman"/>
          <w:sz w:val="24"/>
          <w:szCs w:val="24"/>
        </w:rPr>
        <w:t>R</w:t>
      </w:r>
      <w:r>
        <w:rPr>
          <w:rFonts w:asciiTheme="majorHAnsi" w:hAnsiTheme="majorHAnsi" w:cs="Times New Roman"/>
          <w:sz w:val="24"/>
          <w:szCs w:val="24"/>
        </w:rPr>
        <w:t>evoluční 164, Stráž pod Ralskem</w:t>
      </w:r>
    </w:p>
    <w:p w:rsidR="000C4E60" w:rsidRDefault="000C4E60" w:rsidP="00FF4622">
      <w:pPr>
        <w:pStyle w:val="Odstavecseseznamem"/>
        <w:numPr>
          <w:ilvl w:val="0"/>
          <w:numId w:val="1"/>
        </w:numPr>
        <w:spacing w:after="0"/>
        <w:jc w:val="both"/>
        <w:rPr>
          <w:rFonts w:asciiTheme="majorHAnsi" w:hAnsiTheme="majorHAnsi" w:cs="Times New Roman"/>
          <w:sz w:val="24"/>
          <w:szCs w:val="24"/>
        </w:rPr>
      </w:pPr>
      <w:r>
        <w:rPr>
          <w:rFonts w:asciiTheme="majorHAnsi" w:hAnsiTheme="majorHAnsi" w:cs="Times New Roman"/>
          <w:sz w:val="24"/>
          <w:szCs w:val="24"/>
        </w:rPr>
        <w:t xml:space="preserve">Obvodní báňský úřad pro území krajů </w:t>
      </w:r>
      <w:r w:rsidR="007170F3">
        <w:rPr>
          <w:rFonts w:asciiTheme="majorHAnsi" w:hAnsiTheme="majorHAnsi" w:cs="Times New Roman"/>
          <w:sz w:val="24"/>
          <w:szCs w:val="24"/>
        </w:rPr>
        <w:t>L</w:t>
      </w:r>
      <w:r>
        <w:rPr>
          <w:rFonts w:asciiTheme="majorHAnsi" w:hAnsiTheme="majorHAnsi" w:cs="Times New Roman"/>
          <w:sz w:val="24"/>
          <w:szCs w:val="24"/>
        </w:rPr>
        <w:t xml:space="preserve">ibereckého a Vysočina, třída 1. </w:t>
      </w:r>
      <w:r w:rsidR="00793E0E">
        <w:rPr>
          <w:rFonts w:asciiTheme="majorHAnsi" w:hAnsiTheme="majorHAnsi" w:cs="Times New Roman"/>
          <w:sz w:val="24"/>
          <w:szCs w:val="24"/>
        </w:rPr>
        <w:t>m</w:t>
      </w:r>
      <w:r>
        <w:rPr>
          <w:rFonts w:asciiTheme="majorHAnsi" w:hAnsiTheme="majorHAnsi" w:cs="Times New Roman"/>
          <w:sz w:val="24"/>
          <w:szCs w:val="24"/>
        </w:rPr>
        <w:t>áje 858/26. Liberec.</w:t>
      </w:r>
    </w:p>
    <w:p w:rsidR="000C4E60" w:rsidRDefault="000C4E60" w:rsidP="000C4E60">
      <w:pPr>
        <w:spacing w:after="0"/>
        <w:jc w:val="both"/>
        <w:rPr>
          <w:rFonts w:asciiTheme="majorHAnsi" w:hAnsiTheme="majorHAnsi" w:cs="Times New Roman"/>
          <w:sz w:val="24"/>
          <w:szCs w:val="24"/>
        </w:rPr>
      </w:pPr>
    </w:p>
    <w:p w:rsidR="000C4E60" w:rsidRPr="00C25ACB" w:rsidRDefault="000C4E60" w:rsidP="000C4E60">
      <w:pPr>
        <w:spacing w:after="0"/>
        <w:rPr>
          <w:rFonts w:asciiTheme="majorHAnsi" w:hAnsiTheme="majorHAnsi" w:cs="Times New Roman"/>
          <w:b/>
          <w:sz w:val="24"/>
          <w:szCs w:val="24"/>
          <w:u w:val="single"/>
        </w:rPr>
      </w:pPr>
      <w:r w:rsidRPr="00C25ACB">
        <w:rPr>
          <w:rFonts w:asciiTheme="majorHAnsi" w:hAnsiTheme="majorHAnsi" w:cs="Times New Roman"/>
          <w:b/>
          <w:sz w:val="24"/>
          <w:szCs w:val="24"/>
          <w:u w:val="single"/>
        </w:rPr>
        <w:t>3. Popis činnosti</w:t>
      </w:r>
    </w:p>
    <w:p w:rsidR="00596B80" w:rsidRPr="00FF4622" w:rsidRDefault="00596B80" w:rsidP="007170F3">
      <w:pPr>
        <w:spacing w:after="0"/>
        <w:jc w:val="both"/>
        <w:rPr>
          <w:rFonts w:asciiTheme="majorHAnsi" w:hAnsiTheme="majorHAnsi" w:cs="Times New Roman"/>
          <w:sz w:val="24"/>
          <w:szCs w:val="24"/>
        </w:rPr>
      </w:pPr>
      <w:r>
        <w:rPr>
          <w:rFonts w:asciiTheme="majorHAnsi" w:hAnsiTheme="majorHAnsi" w:cs="Times New Roman"/>
          <w:sz w:val="24"/>
          <w:szCs w:val="24"/>
        </w:rPr>
        <w:t xml:space="preserve">Společnost realizuje likvidační práce po těžbě uranu na ložiscích Stráž, Hamr, Mimoň, Osečná – Kotel, Křižany, </w:t>
      </w:r>
      <w:proofErr w:type="spellStart"/>
      <w:r>
        <w:rPr>
          <w:rFonts w:asciiTheme="majorHAnsi" w:hAnsiTheme="majorHAnsi" w:cs="Times New Roman"/>
          <w:sz w:val="24"/>
          <w:szCs w:val="24"/>
        </w:rPr>
        <w:t>Hvězdov</w:t>
      </w:r>
      <w:proofErr w:type="spellEnd"/>
      <w:r>
        <w:rPr>
          <w:rFonts w:asciiTheme="majorHAnsi" w:hAnsiTheme="majorHAnsi" w:cs="Times New Roman"/>
          <w:sz w:val="24"/>
          <w:szCs w:val="24"/>
        </w:rPr>
        <w:t xml:space="preserve">, Holičky a </w:t>
      </w:r>
      <w:proofErr w:type="spellStart"/>
      <w:r>
        <w:rPr>
          <w:rFonts w:asciiTheme="majorHAnsi" w:hAnsiTheme="majorHAnsi" w:cs="Times New Roman"/>
          <w:sz w:val="24"/>
          <w:szCs w:val="24"/>
        </w:rPr>
        <w:t>Břevniště</w:t>
      </w:r>
      <w:proofErr w:type="spellEnd"/>
      <w:r>
        <w:rPr>
          <w:rFonts w:asciiTheme="majorHAnsi" w:hAnsiTheme="majorHAnsi" w:cs="Times New Roman"/>
          <w:sz w:val="24"/>
          <w:szCs w:val="24"/>
        </w:rPr>
        <w:t xml:space="preserve"> a rozsáhlou sanaci horninového prostředí po chemické těžbě uranu na ložisku Stráž.</w:t>
      </w:r>
    </w:p>
    <w:p w:rsidR="000C4E60" w:rsidRDefault="000C4E60" w:rsidP="000C4E60">
      <w:pPr>
        <w:spacing w:after="0"/>
        <w:jc w:val="both"/>
        <w:rPr>
          <w:rFonts w:asciiTheme="majorHAnsi" w:hAnsiTheme="majorHAnsi" w:cs="Times New Roman"/>
          <w:sz w:val="24"/>
          <w:szCs w:val="24"/>
        </w:rPr>
      </w:pPr>
    </w:p>
    <w:p w:rsidR="00AA0838" w:rsidRPr="00C25ACB" w:rsidRDefault="00AA0838" w:rsidP="00AA0838">
      <w:pPr>
        <w:spacing w:after="0"/>
        <w:jc w:val="both"/>
        <w:rPr>
          <w:rFonts w:asciiTheme="majorHAnsi" w:hAnsiTheme="majorHAnsi" w:cs="Times New Roman"/>
          <w:b/>
          <w:sz w:val="24"/>
          <w:szCs w:val="24"/>
        </w:rPr>
      </w:pPr>
      <w:r w:rsidRPr="00C25ACB">
        <w:rPr>
          <w:rFonts w:asciiTheme="majorHAnsi" w:hAnsiTheme="majorHAnsi" w:cs="Times New Roman"/>
          <w:b/>
          <w:sz w:val="24"/>
          <w:szCs w:val="24"/>
          <w:u w:val="single"/>
        </w:rPr>
        <w:t>4. Seznam nebezpečných látek</w:t>
      </w:r>
    </w:p>
    <w:p w:rsidR="00AA0838" w:rsidRDefault="00AA0838" w:rsidP="000C4E60">
      <w:pPr>
        <w:spacing w:after="0"/>
        <w:jc w:val="both"/>
        <w:rPr>
          <w:rFonts w:asciiTheme="majorHAnsi" w:hAnsiTheme="majorHAnsi" w:cs="Times New Roman"/>
          <w:sz w:val="24"/>
          <w:szCs w:val="24"/>
        </w:rPr>
      </w:pPr>
    </w:p>
    <w:tbl>
      <w:tblPr>
        <w:tblStyle w:val="Mkatabulky"/>
        <w:tblW w:w="0" w:type="auto"/>
        <w:tblInd w:w="108" w:type="dxa"/>
        <w:tblLook w:val="04A0" w:firstRow="1" w:lastRow="0" w:firstColumn="1" w:lastColumn="0" w:noHBand="0" w:noVBand="1"/>
      </w:tblPr>
      <w:tblGrid>
        <w:gridCol w:w="1560"/>
        <w:gridCol w:w="4677"/>
        <w:gridCol w:w="2867"/>
      </w:tblGrid>
      <w:tr w:rsidR="00AA0838" w:rsidTr="00BA0DEB">
        <w:tc>
          <w:tcPr>
            <w:tcW w:w="1560" w:type="dxa"/>
          </w:tcPr>
          <w:p w:rsidR="00AA0838" w:rsidRDefault="00AA0838" w:rsidP="000C4E60">
            <w:pPr>
              <w:jc w:val="both"/>
              <w:rPr>
                <w:rFonts w:asciiTheme="majorHAnsi" w:hAnsiTheme="majorHAnsi" w:cs="Times New Roman"/>
                <w:sz w:val="24"/>
                <w:szCs w:val="24"/>
              </w:rPr>
            </w:pPr>
            <w:r>
              <w:rPr>
                <w:rFonts w:asciiTheme="majorHAnsi" w:hAnsiTheme="majorHAnsi" w:cs="Times New Roman"/>
                <w:sz w:val="24"/>
                <w:szCs w:val="24"/>
              </w:rPr>
              <w:t>Nebezpečná látka</w:t>
            </w:r>
          </w:p>
        </w:tc>
        <w:tc>
          <w:tcPr>
            <w:tcW w:w="4677" w:type="dxa"/>
          </w:tcPr>
          <w:p w:rsidR="00AA0838" w:rsidRDefault="00AA0838" w:rsidP="000C4E60">
            <w:pPr>
              <w:jc w:val="both"/>
              <w:rPr>
                <w:rFonts w:asciiTheme="majorHAnsi" w:hAnsiTheme="majorHAnsi" w:cs="Times New Roman"/>
                <w:sz w:val="24"/>
                <w:szCs w:val="24"/>
              </w:rPr>
            </w:pPr>
            <w:r>
              <w:rPr>
                <w:rFonts w:asciiTheme="majorHAnsi" w:hAnsiTheme="majorHAnsi" w:cs="Times New Roman"/>
                <w:sz w:val="24"/>
                <w:szCs w:val="24"/>
              </w:rPr>
              <w:t>Nebezpečné vlastnosti</w:t>
            </w:r>
          </w:p>
        </w:tc>
        <w:tc>
          <w:tcPr>
            <w:tcW w:w="2867" w:type="dxa"/>
          </w:tcPr>
          <w:p w:rsidR="00AA0838" w:rsidRDefault="00AA0838" w:rsidP="000C4E60">
            <w:pPr>
              <w:jc w:val="both"/>
              <w:rPr>
                <w:rFonts w:asciiTheme="majorHAnsi" w:hAnsiTheme="majorHAnsi" w:cs="Times New Roman"/>
                <w:sz w:val="24"/>
                <w:szCs w:val="24"/>
              </w:rPr>
            </w:pPr>
            <w:r>
              <w:rPr>
                <w:rFonts w:asciiTheme="majorHAnsi" w:hAnsiTheme="majorHAnsi" w:cs="Times New Roman"/>
                <w:sz w:val="24"/>
                <w:szCs w:val="24"/>
              </w:rPr>
              <w:t>Možný scénář závažné havárie</w:t>
            </w:r>
          </w:p>
        </w:tc>
      </w:tr>
      <w:tr w:rsidR="00AA0838" w:rsidTr="00BA0DEB">
        <w:tc>
          <w:tcPr>
            <w:tcW w:w="1560" w:type="dxa"/>
          </w:tcPr>
          <w:p w:rsidR="00AA0838" w:rsidRDefault="00BA0DEB" w:rsidP="000C4E60">
            <w:pPr>
              <w:jc w:val="both"/>
              <w:rPr>
                <w:rFonts w:asciiTheme="majorHAnsi" w:hAnsiTheme="majorHAnsi" w:cs="Times New Roman"/>
                <w:sz w:val="24"/>
                <w:szCs w:val="24"/>
              </w:rPr>
            </w:pPr>
            <w:r>
              <w:rPr>
                <w:rFonts w:asciiTheme="majorHAnsi" w:hAnsiTheme="majorHAnsi" w:cs="Times New Roman"/>
                <w:sz w:val="24"/>
                <w:szCs w:val="24"/>
              </w:rPr>
              <w:t>Chlor</w:t>
            </w:r>
          </w:p>
        </w:tc>
        <w:tc>
          <w:tcPr>
            <w:tcW w:w="4677" w:type="dxa"/>
          </w:tcPr>
          <w:p w:rsidR="00927B6E" w:rsidRDefault="00BA0DEB" w:rsidP="00BA0DEB">
            <w:pPr>
              <w:pStyle w:val="Odstavecseseznamem"/>
              <w:numPr>
                <w:ilvl w:val="0"/>
                <w:numId w:val="1"/>
              </w:numPr>
              <w:jc w:val="both"/>
              <w:rPr>
                <w:rFonts w:asciiTheme="majorHAnsi" w:hAnsiTheme="majorHAnsi" w:cs="Times New Roman"/>
                <w:sz w:val="24"/>
                <w:szCs w:val="24"/>
              </w:rPr>
            </w:pPr>
            <w:r w:rsidRPr="00BA0DEB">
              <w:rPr>
                <w:rFonts w:asciiTheme="majorHAnsi" w:hAnsiTheme="majorHAnsi" w:cs="Times New Roman"/>
                <w:sz w:val="24"/>
                <w:szCs w:val="24"/>
              </w:rPr>
              <w:t>Při vdechování může způsobit smrt</w:t>
            </w:r>
          </w:p>
          <w:p w:rsidR="00BA0DEB" w:rsidRPr="00BA0DEB" w:rsidRDefault="00BA0DEB" w:rsidP="00BA0DEB">
            <w:pPr>
              <w:pStyle w:val="Odstavecseseznamem"/>
              <w:numPr>
                <w:ilvl w:val="0"/>
                <w:numId w:val="1"/>
              </w:numPr>
              <w:jc w:val="both"/>
              <w:rPr>
                <w:rFonts w:asciiTheme="majorHAnsi" w:hAnsiTheme="majorHAnsi" w:cs="Times New Roman"/>
                <w:sz w:val="24"/>
                <w:szCs w:val="24"/>
              </w:rPr>
            </w:pPr>
            <w:r>
              <w:rPr>
                <w:rFonts w:asciiTheme="majorHAnsi" w:hAnsiTheme="majorHAnsi" w:cs="Times New Roman"/>
                <w:sz w:val="24"/>
                <w:szCs w:val="24"/>
              </w:rPr>
              <w:t>Vysoce toxický pro vodní organismy</w:t>
            </w:r>
          </w:p>
        </w:tc>
        <w:tc>
          <w:tcPr>
            <w:tcW w:w="2867" w:type="dxa"/>
          </w:tcPr>
          <w:p w:rsidR="00AA0838" w:rsidRDefault="005954DB" w:rsidP="000C4E60">
            <w:pPr>
              <w:jc w:val="both"/>
              <w:rPr>
                <w:rFonts w:asciiTheme="majorHAnsi" w:hAnsiTheme="majorHAnsi" w:cs="Times New Roman"/>
                <w:sz w:val="24"/>
                <w:szCs w:val="24"/>
              </w:rPr>
            </w:pPr>
            <w:r>
              <w:rPr>
                <w:rFonts w:asciiTheme="majorHAnsi" w:hAnsiTheme="majorHAnsi" w:cs="Times New Roman"/>
                <w:sz w:val="24"/>
                <w:szCs w:val="24"/>
              </w:rPr>
              <w:t>Únik ze zásobníku</w:t>
            </w:r>
          </w:p>
        </w:tc>
      </w:tr>
      <w:tr w:rsidR="00927B6E" w:rsidTr="00BA0DEB">
        <w:tc>
          <w:tcPr>
            <w:tcW w:w="1560" w:type="dxa"/>
          </w:tcPr>
          <w:p w:rsidR="00927B6E" w:rsidRDefault="00BA0DEB" w:rsidP="000C4E60">
            <w:pPr>
              <w:jc w:val="both"/>
              <w:rPr>
                <w:rFonts w:asciiTheme="majorHAnsi" w:hAnsiTheme="majorHAnsi" w:cs="Times New Roman"/>
                <w:sz w:val="24"/>
                <w:szCs w:val="24"/>
              </w:rPr>
            </w:pPr>
            <w:r>
              <w:rPr>
                <w:rFonts w:asciiTheme="majorHAnsi" w:hAnsiTheme="majorHAnsi" w:cs="Times New Roman"/>
                <w:sz w:val="24"/>
                <w:szCs w:val="24"/>
              </w:rPr>
              <w:t>Amoniak</w:t>
            </w:r>
          </w:p>
        </w:tc>
        <w:tc>
          <w:tcPr>
            <w:tcW w:w="4677" w:type="dxa"/>
          </w:tcPr>
          <w:p w:rsidR="00927B6E" w:rsidRDefault="00BA0DEB" w:rsidP="00BA0DEB">
            <w:pPr>
              <w:pStyle w:val="Odstavecseseznamem"/>
              <w:numPr>
                <w:ilvl w:val="0"/>
                <w:numId w:val="1"/>
              </w:numPr>
              <w:jc w:val="both"/>
              <w:rPr>
                <w:rFonts w:asciiTheme="majorHAnsi" w:hAnsiTheme="majorHAnsi" w:cs="Times New Roman"/>
                <w:sz w:val="24"/>
                <w:szCs w:val="24"/>
              </w:rPr>
            </w:pPr>
            <w:r>
              <w:rPr>
                <w:rFonts w:asciiTheme="majorHAnsi" w:hAnsiTheme="majorHAnsi" w:cs="Times New Roman"/>
                <w:sz w:val="24"/>
                <w:szCs w:val="24"/>
              </w:rPr>
              <w:t>Hořlavý plyn</w:t>
            </w:r>
          </w:p>
          <w:p w:rsidR="00BA0DEB" w:rsidRDefault="00BA0DEB" w:rsidP="00BA0DEB">
            <w:pPr>
              <w:pStyle w:val="Odstavecseseznamem"/>
              <w:numPr>
                <w:ilvl w:val="0"/>
                <w:numId w:val="1"/>
              </w:numPr>
              <w:jc w:val="both"/>
              <w:rPr>
                <w:rFonts w:asciiTheme="majorHAnsi" w:hAnsiTheme="majorHAnsi" w:cs="Times New Roman"/>
                <w:sz w:val="24"/>
                <w:szCs w:val="24"/>
              </w:rPr>
            </w:pPr>
            <w:r>
              <w:rPr>
                <w:rFonts w:asciiTheme="majorHAnsi" w:hAnsiTheme="majorHAnsi" w:cs="Times New Roman"/>
                <w:sz w:val="24"/>
                <w:szCs w:val="24"/>
              </w:rPr>
              <w:t>Toxický při vdechování</w:t>
            </w:r>
          </w:p>
          <w:p w:rsidR="00BA0DEB" w:rsidRPr="00BA0DEB" w:rsidRDefault="00BA0DEB" w:rsidP="00BA0DEB">
            <w:pPr>
              <w:pStyle w:val="Odstavecseseznamem"/>
              <w:numPr>
                <w:ilvl w:val="0"/>
                <w:numId w:val="1"/>
              </w:numPr>
              <w:jc w:val="both"/>
              <w:rPr>
                <w:rFonts w:asciiTheme="majorHAnsi" w:hAnsiTheme="majorHAnsi" w:cs="Times New Roman"/>
                <w:sz w:val="24"/>
                <w:szCs w:val="24"/>
              </w:rPr>
            </w:pPr>
            <w:r>
              <w:rPr>
                <w:rFonts w:asciiTheme="majorHAnsi" w:hAnsiTheme="majorHAnsi" w:cs="Times New Roman"/>
                <w:sz w:val="24"/>
                <w:szCs w:val="24"/>
              </w:rPr>
              <w:t>Akutní a chronická toxicita pro vodní prostředí</w:t>
            </w:r>
          </w:p>
        </w:tc>
        <w:tc>
          <w:tcPr>
            <w:tcW w:w="2867" w:type="dxa"/>
          </w:tcPr>
          <w:p w:rsidR="00927B6E" w:rsidRDefault="005954DB" w:rsidP="000C4E60">
            <w:pPr>
              <w:jc w:val="both"/>
              <w:rPr>
                <w:rFonts w:asciiTheme="majorHAnsi" w:hAnsiTheme="majorHAnsi" w:cs="Times New Roman"/>
                <w:sz w:val="24"/>
                <w:szCs w:val="24"/>
              </w:rPr>
            </w:pPr>
            <w:r>
              <w:rPr>
                <w:rFonts w:asciiTheme="majorHAnsi" w:hAnsiTheme="majorHAnsi" w:cs="Times New Roman"/>
                <w:sz w:val="24"/>
                <w:szCs w:val="24"/>
              </w:rPr>
              <w:t>Únik ze zásobníku</w:t>
            </w:r>
          </w:p>
        </w:tc>
      </w:tr>
    </w:tbl>
    <w:p w:rsidR="000C4E60" w:rsidRPr="000C4E60" w:rsidRDefault="00AA0838" w:rsidP="000C4E60">
      <w:pPr>
        <w:spacing w:after="0"/>
        <w:jc w:val="both"/>
        <w:rPr>
          <w:rFonts w:asciiTheme="majorHAnsi" w:hAnsiTheme="majorHAnsi" w:cs="Times New Roman"/>
          <w:sz w:val="24"/>
          <w:szCs w:val="24"/>
        </w:rPr>
      </w:pPr>
      <w:r>
        <w:rPr>
          <w:rFonts w:asciiTheme="majorHAnsi" w:hAnsiTheme="majorHAnsi" w:cs="Times New Roman"/>
          <w:sz w:val="24"/>
          <w:szCs w:val="24"/>
        </w:rPr>
        <w:t xml:space="preserve"> </w:t>
      </w:r>
    </w:p>
    <w:p w:rsidR="007466A8" w:rsidRPr="00C25ACB" w:rsidRDefault="007466A8" w:rsidP="007466A8">
      <w:pPr>
        <w:spacing w:after="0"/>
        <w:jc w:val="both"/>
        <w:rPr>
          <w:rFonts w:asciiTheme="majorHAnsi" w:hAnsiTheme="majorHAnsi" w:cs="Times New Roman"/>
          <w:b/>
          <w:sz w:val="24"/>
          <w:szCs w:val="24"/>
          <w:u w:val="single"/>
        </w:rPr>
      </w:pPr>
      <w:r w:rsidRPr="00C25ACB">
        <w:rPr>
          <w:rFonts w:asciiTheme="majorHAnsi" w:hAnsiTheme="majorHAnsi" w:cs="Times New Roman"/>
          <w:b/>
          <w:sz w:val="24"/>
          <w:szCs w:val="24"/>
          <w:u w:val="single"/>
        </w:rPr>
        <w:t xml:space="preserve">5. </w:t>
      </w:r>
      <w:r w:rsidR="0056441E">
        <w:rPr>
          <w:rFonts w:asciiTheme="majorHAnsi" w:hAnsiTheme="majorHAnsi" w:cs="Times New Roman"/>
          <w:b/>
          <w:sz w:val="24"/>
          <w:szCs w:val="24"/>
          <w:u w:val="single"/>
        </w:rPr>
        <w:t>Závěr analýzy rizik</w:t>
      </w:r>
    </w:p>
    <w:p w:rsidR="0056441E" w:rsidRDefault="007466A8" w:rsidP="007466A8">
      <w:pPr>
        <w:spacing w:after="0"/>
        <w:jc w:val="both"/>
        <w:rPr>
          <w:rFonts w:asciiTheme="majorHAnsi" w:hAnsiTheme="majorHAnsi" w:cs="Times New Roman"/>
          <w:sz w:val="24"/>
          <w:szCs w:val="24"/>
        </w:rPr>
      </w:pPr>
      <w:r w:rsidRPr="0056441E">
        <w:rPr>
          <w:rFonts w:asciiTheme="majorHAnsi" w:hAnsiTheme="majorHAnsi" w:cs="Times New Roman"/>
          <w:sz w:val="24"/>
          <w:szCs w:val="24"/>
        </w:rPr>
        <w:t xml:space="preserve">Z analýzy rizik vyplývá, že </w:t>
      </w:r>
      <w:r w:rsidR="001A168F">
        <w:rPr>
          <w:rFonts w:asciiTheme="majorHAnsi" w:hAnsiTheme="majorHAnsi" w:cs="Times New Roman"/>
          <w:sz w:val="24"/>
          <w:szCs w:val="24"/>
        </w:rPr>
        <w:t>skladování amoniaku a chloru v</w:t>
      </w:r>
      <w:r w:rsidR="00AD5544">
        <w:rPr>
          <w:rFonts w:asciiTheme="majorHAnsi" w:hAnsiTheme="majorHAnsi" w:cs="Times New Roman"/>
          <w:sz w:val="24"/>
          <w:szCs w:val="24"/>
        </w:rPr>
        <w:t> </w:t>
      </w:r>
      <w:r w:rsidR="001A168F">
        <w:rPr>
          <w:rFonts w:asciiTheme="majorHAnsi" w:hAnsiTheme="majorHAnsi" w:cs="Times New Roman"/>
          <w:sz w:val="24"/>
          <w:szCs w:val="24"/>
        </w:rPr>
        <w:t>zásobnících</w:t>
      </w:r>
      <w:r w:rsidR="00AD5544">
        <w:rPr>
          <w:rFonts w:asciiTheme="majorHAnsi" w:hAnsiTheme="majorHAnsi" w:cs="Times New Roman"/>
          <w:sz w:val="24"/>
          <w:szCs w:val="24"/>
        </w:rPr>
        <w:t>, stáčení těchto látek ze železničních cisteren a stáčení/plnění autocisteren jsou zdroje rizika závažné havárie s možnými ztrátami na lidských životech.</w:t>
      </w:r>
      <w:r w:rsidR="001A168F">
        <w:rPr>
          <w:rFonts w:asciiTheme="majorHAnsi" w:hAnsiTheme="majorHAnsi" w:cs="Times New Roman"/>
          <w:sz w:val="24"/>
          <w:szCs w:val="24"/>
        </w:rPr>
        <w:t xml:space="preserve"> </w:t>
      </w:r>
      <w:r w:rsidR="00AD5544">
        <w:rPr>
          <w:rFonts w:asciiTheme="majorHAnsi" w:hAnsiTheme="majorHAnsi" w:cs="Times New Roman"/>
          <w:sz w:val="24"/>
          <w:szCs w:val="24"/>
        </w:rPr>
        <w:t xml:space="preserve">Modelování závažných havárií ukazuje, že následky havárie překročí hranice zájmových oblastí DIAMO, </w:t>
      </w:r>
      <w:proofErr w:type="spellStart"/>
      <w:proofErr w:type="gramStart"/>
      <w:r w:rsidR="00AD5544">
        <w:rPr>
          <w:rFonts w:asciiTheme="majorHAnsi" w:hAnsiTheme="majorHAnsi" w:cs="Times New Roman"/>
          <w:sz w:val="24"/>
          <w:szCs w:val="24"/>
        </w:rPr>
        <w:t>s.p</w:t>
      </w:r>
      <w:proofErr w:type="spellEnd"/>
      <w:r w:rsidR="00AD5544">
        <w:rPr>
          <w:rFonts w:asciiTheme="majorHAnsi" w:hAnsiTheme="majorHAnsi" w:cs="Times New Roman"/>
          <w:sz w:val="24"/>
          <w:szCs w:val="24"/>
        </w:rPr>
        <w:t>.</w:t>
      </w:r>
      <w:proofErr w:type="gramEnd"/>
      <w:r w:rsidR="00AD5544">
        <w:rPr>
          <w:rFonts w:asciiTheme="majorHAnsi" w:hAnsiTheme="majorHAnsi" w:cs="Times New Roman"/>
          <w:sz w:val="24"/>
          <w:szCs w:val="24"/>
        </w:rPr>
        <w:t xml:space="preserve">, </w:t>
      </w:r>
      <w:proofErr w:type="spellStart"/>
      <w:r w:rsidR="00AD5544">
        <w:rPr>
          <w:rFonts w:asciiTheme="majorHAnsi" w:hAnsiTheme="majorHAnsi" w:cs="Times New Roman"/>
          <w:sz w:val="24"/>
          <w:szCs w:val="24"/>
        </w:rPr>
        <w:t>o.z</w:t>
      </w:r>
      <w:proofErr w:type="spellEnd"/>
      <w:r w:rsidR="00AD5544">
        <w:rPr>
          <w:rFonts w:asciiTheme="majorHAnsi" w:hAnsiTheme="majorHAnsi" w:cs="Times New Roman"/>
          <w:sz w:val="24"/>
          <w:szCs w:val="24"/>
        </w:rPr>
        <w:t xml:space="preserve">. TÚU především v případě havárie zásobníku, železniční cisterny (amoniak, chlor), kontejneru (chlor) a autocisterny (amoniak). S ohledem na dosah účinků toxického mraku je </w:t>
      </w:r>
      <w:r w:rsidR="00AD5544">
        <w:rPr>
          <w:rFonts w:asciiTheme="majorHAnsi" w:hAnsiTheme="majorHAnsi" w:cs="Times New Roman"/>
          <w:sz w:val="24"/>
          <w:szCs w:val="24"/>
        </w:rPr>
        <w:lastRenderedPageBreak/>
        <w:t>ohroženo město Stráž pod Ralskem a obec Hamr na Jezeře. Nejzávažnější havárií byl stanoven okamžitý únik chloru ze zásobníku.</w:t>
      </w:r>
    </w:p>
    <w:p w:rsidR="00AD5544" w:rsidRPr="0056441E" w:rsidRDefault="00AD5544" w:rsidP="007466A8">
      <w:pPr>
        <w:spacing w:after="0"/>
        <w:jc w:val="both"/>
        <w:rPr>
          <w:rFonts w:asciiTheme="majorHAnsi" w:hAnsiTheme="majorHAnsi" w:cs="Times New Roman"/>
          <w:sz w:val="24"/>
          <w:szCs w:val="24"/>
        </w:rPr>
      </w:pPr>
      <w:r>
        <w:rPr>
          <w:rFonts w:asciiTheme="majorHAnsi" w:hAnsiTheme="majorHAnsi" w:cs="Times New Roman"/>
          <w:sz w:val="24"/>
          <w:szCs w:val="24"/>
        </w:rPr>
        <w:t>Společenské riziko, riziko ohrožení hospodářských zvířat, ohrožení majetku a ohrožení životního prostředí je přijatelné.</w:t>
      </w:r>
    </w:p>
    <w:p w:rsidR="00C2421A" w:rsidRDefault="00C2421A" w:rsidP="007466A8">
      <w:pPr>
        <w:spacing w:after="0"/>
        <w:jc w:val="both"/>
        <w:rPr>
          <w:rFonts w:asciiTheme="majorHAnsi" w:hAnsiTheme="majorHAnsi" w:cs="Times New Roman"/>
          <w:b/>
          <w:sz w:val="24"/>
          <w:szCs w:val="24"/>
          <w:u w:val="single"/>
        </w:rPr>
      </w:pPr>
    </w:p>
    <w:p w:rsidR="0056441E" w:rsidRPr="0056441E" w:rsidRDefault="0056441E" w:rsidP="007466A8">
      <w:pPr>
        <w:spacing w:after="0"/>
        <w:jc w:val="both"/>
        <w:rPr>
          <w:rFonts w:asciiTheme="majorHAnsi" w:hAnsiTheme="majorHAnsi" w:cs="Times New Roman"/>
          <w:b/>
          <w:sz w:val="24"/>
          <w:szCs w:val="24"/>
          <w:u w:val="single"/>
        </w:rPr>
      </w:pPr>
      <w:r w:rsidRPr="0056441E">
        <w:rPr>
          <w:rFonts w:asciiTheme="majorHAnsi" w:hAnsiTheme="majorHAnsi" w:cs="Times New Roman"/>
          <w:b/>
          <w:sz w:val="24"/>
          <w:szCs w:val="24"/>
          <w:u w:val="single"/>
        </w:rPr>
        <w:t>6. Varování</w:t>
      </w:r>
    </w:p>
    <w:p w:rsidR="00C2421A" w:rsidRDefault="00C2421A" w:rsidP="0056441E">
      <w:pPr>
        <w:jc w:val="both"/>
        <w:rPr>
          <w:rFonts w:asciiTheme="majorHAnsi" w:hAnsiTheme="majorHAnsi" w:cs="Times New Roman"/>
          <w:sz w:val="24"/>
          <w:szCs w:val="24"/>
        </w:rPr>
      </w:pPr>
      <w:r>
        <w:rPr>
          <w:rFonts w:asciiTheme="majorHAnsi" w:hAnsiTheme="majorHAnsi" w:cs="Times New Roman"/>
          <w:sz w:val="24"/>
          <w:szCs w:val="24"/>
        </w:rPr>
        <w:t>O ohrožení jsou zaměstnanci i další osoby</w:t>
      </w:r>
      <w:r w:rsidR="00B142C9">
        <w:rPr>
          <w:rFonts w:asciiTheme="majorHAnsi" w:hAnsiTheme="majorHAnsi" w:cs="Times New Roman"/>
          <w:sz w:val="24"/>
          <w:szCs w:val="24"/>
        </w:rPr>
        <w:t xml:space="preserve"> nacházející se v areálu</w:t>
      </w:r>
      <w:r>
        <w:rPr>
          <w:rFonts w:asciiTheme="majorHAnsi" w:hAnsiTheme="majorHAnsi" w:cs="Times New Roman"/>
          <w:sz w:val="24"/>
          <w:szCs w:val="24"/>
        </w:rPr>
        <w:t xml:space="preserve"> vyrozuměni kolísavým tónem sirény po dobu 15 sekund. Výše uvedený signál může být na příkaz vedoucího likvidace havárie opakován 3x za sebou. Po ukončení signálu sirény následuje hlášení upřesňujících informací závodním rozhlasem.</w:t>
      </w:r>
    </w:p>
    <w:p w:rsidR="00C2421A" w:rsidRDefault="00C2421A" w:rsidP="0056441E">
      <w:pPr>
        <w:jc w:val="both"/>
        <w:rPr>
          <w:rFonts w:asciiTheme="majorHAnsi" w:hAnsiTheme="majorHAnsi" w:cs="Times New Roman"/>
          <w:sz w:val="24"/>
          <w:szCs w:val="24"/>
        </w:rPr>
      </w:pPr>
      <w:r>
        <w:rPr>
          <w:rFonts w:asciiTheme="majorHAnsi" w:hAnsiTheme="majorHAnsi" w:cs="Times New Roman"/>
          <w:sz w:val="24"/>
          <w:szCs w:val="24"/>
        </w:rPr>
        <w:t>V případě ohrožení obyvatelstva okolních obcí (Stráž pod Ralskem, Dubnice, Ralsko, Hamr na Jezeře, Noviny pod Ralskem, Brniště) zajišťuje vedoucí likvidace havárie informování obecních úřadů a informování obyvatelstva o ohrožení pomocí pohotovostních vozidel vybavených výstražným majákem a rozhlasovým zařízením, které vydává akustický signál sirény „všeobecná výstraha“ a umožňuje slovní informaci blíže specifikující ohrožení</w:t>
      </w:r>
      <w:r w:rsidR="00793135">
        <w:rPr>
          <w:rFonts w:asciiTheme="majorHAnsi" w:hAnsiTheme="majorHAnsi" w:cs="Times New Roman"/>
          <w:sz w:val="24"/>
          <w:szCs w:val="24"/>
        </w:rPr>
        <w:t>.</w:t>
      </w:r>
    </w:p>
    <w:p w:rsidR="00793135" w:rsidRDefault="00793135" w:rsidP="0056441E">
      <w:pPr>
        <w:jc w:val="both"/>
        <w:rPr>
          <w:rFonts w:asciiTheme="majorHAnsi" w:hAnsiTheme="majorHAnsi" w:cs="Times New Roman"/>
          <w:sz w:val="24"/>
          <w:szCs w:val="24"/>
        </w:rPr>
      </w:pPr>
      <w:r>
        <w:rPr>
          <w:rFonts w:asciiTheme="majorHAnsi" w:hAnsiTheme="majorHAnsi" w:cs="Times New Roman"/>
          <w:sz w:val="24"/>
          <w:szCs w:val="24"/>
        </w:rPr>
        <w:t>V případě ohrožení obyvatelstva města Stráž pod Ralskem (zejména při ch</w:t>
      </w:r>
      <w:r w:rsidR="00731B38">
        <w:rPr>
          <w:rFonts w:asciiTheme="majorHAnsi" w:hAnsiTheme="majorHAnsi" w:cs="Times New Roman"/>
          <w:sz w:val="24"/>
          <w:szCs w:val="24"/>
        </w:rPr>
        <w:t>l</w:t>
      </w:r>
      <w:r>
        <w:rPr>
          <w:rFonts w:asciiTheme="majorHAnsi" w:hAnsiTheme="majorHAnsi" w:cs="Times New Roman"/>
          <w:sz w:val="24"/>
          <w:szCs w:val="24"/>
        </w:rPr>
        <w:t>orovém poplachu II. či III. stupně) zajistí operační důstojník HZS LK po zpětném dotazu k veliteli likvidace havárie či dispečinku ZBZS, spuštění sirény ve Stráži pod Ralskem a informuje Policii ČR.</w:t>
      </w:r>
    </w:p>
    <w:p w:rsidR="00793135" w:rsidRDefault="00793135" w:rsidP="0056441E">
      <w:pPr>
        <w:jc w:val="both"/>
        <w:rPr>
          <w:rFonts w:asciiTheme="majorHAnsi" w:hAnsiTheme="majorHAnsi" w:cs="Times New Roman"/>
          <w:sz w:val="24"/>
          <w:szCs w:val="24"/>
        </w:rPr>
      </w:pPr>
      <w:r>
        <w:rPr>
          <w:rFonts w:asciiTheme="majorHAnsi" w:hAnsiTheme="majorHAnsi" w:cs="Times New Roman"/>
          <w:sz w:val="24"/>
          <w:szCs w:val="24"/>
        </w:rPr>
        <w:t xml:space="preserve">Městská policie, ve spolupráci s Policií ČR, projede neprodleně ulicemi města a pomocí megafonů vyhlásí poplach slovní informací. </w:t>
      </w:r>
    </w:p>
    <w:p w:rsidR="00793135" w:rsidRPr="00C2421A" w:rsidRDefault="00793135" w:rsidP="0056441E">
      <w:pPr>
        <w:jc w:val="both"/>
        <w:rPr>
          <w:rFonts w:asciiTheme="majorHAnsi" w:hAnsiTheme="majorHAnsi" w:cs="Times New Roman"/>
          <w:sz w:val="24"/>
          <w:szCs w:val="24"/>
        </w:rPr>
      </w:pPr>
      <w:r>
        <w:rPr>
          <w:rFonts w:asciiTheme="majorHAnsi" w:hAnsiTheme="majorHAnsi" w:cs="Times New Roman"/>
          <w:sz w:val="24"/>
          <w:szCs w:val="24"/>
        </w:rPr>
        <w:t>Obyvatelstvo je povinno se chovat dle instrukcí vydaných městským úřadem Stráž pod Ralskem.</w:t>
      </w:r>
    </w:p>
    <w:p w:rsidR="0056441E" w:rsidRDefault="0056441E" w:rsidP="0056441E">
      <w:pPr>
        <w:jc w:val="both"/>
        <w:rPr>
          <w:rFonts w:asciiTheme="majorHAnsi" w:hAnsiTheme="majorHAnsi" w:cs="Times New Roman"/>
          <w:b/>
          <w:sz w:val="24"/>
          <w:szCs w:val="24"/>
          <w:u w:val="single"/>
        </w:rPr>
      </w:pPr>
      <w:r w:rsidRPr="0056441E">
        <w:rPr>
          <w:rFonts w:asciiTheme="majorHAnsi" w:hAnsiTheme="majorHAnsi" w:cs="Times New Roman"/>
          <w:b/>
          <w:sz w:val="24"/>
          <w:szCs w:val="24"/>
          <w:u w:val="single"/>
        </w:rPr>
        <w:t>7. Žádoucí chování</w:t>
      </w:r>
    </w:p>
    <w:p w:rsidR="00F93470" w:rsidRDefault="00F93470" w:rsidP="00F93470">
      <w:pPr>
        <w:pStyle w:val="Odstavecseseznamem"/>
        <w:numPr>
          <w:ilvl w:val="0"/>
          <w:numId w:val="1"/>
        </w:numPr>
        <w:jc w:val="both"/>
        <w:rPr>
          <w:rFonts w:asciiTheme="majorHAnsi" w:hAnsiTheme="majorHAnsi" w:cs="Times New Roman"/>
          <w:sz w:val="24"/>
          <w:szCs w:val="24"/>
        </w:rPr>
      </w:pPr>
      <w:r>
        <w:rPr>
          <w:rFonts w:asciiTheme="majorHAnsi" w:hAnsiTheme="majorHAnsi" w:cs="Times New Roman"/>
          <w:sz w:val="24"/>
          <w:szCs w:val="24"/>
        </w:rPr>
        <w:t>Vzd</w:t>
      </w:r>
      <w:r w:rsidR="00793135">
        <w:rPr>
          <w:rFonts w:asciiTheme="majorHAnsi" w:hAnsiTheme="majorHAnsi" w:cs="Times New Roman"/>
          <w:sz w:val="24"/>
          <w:szCs w:val="24"/>
        </w:rPr>
        <w:t>a</w:t>
      </w:r>
      <w:r>
        <w:rPr>
          <w:rFonts w:asciiTheme="majorHAnsi" w:hAnsiTheme="majorHAnsi" w:cs="Times New Roman"/>
          <w:sz w:val="24"/>
          <w:szCs w:val="24"/>
        </w:rPr>
        <w:t>lt</w:t>
      </w:r>
      <w:r w:rsidR="00793135">
        <w:rPr>
          <w:rFonts w:asciiTheme="majorHAnsi" w:hAnsiTheme="majorHAnsi" w:cs="Times New Roman"/>
          <w:sz w:val="24"/>
          <w:szCs w:val="24"/>
        </w:rPr>
        <w:t>e</w:t>
      </w:r>
      <w:r>
        <w:rPr>
          <w:rFonts w:asciiTheme="majorHAnsi" w:hAnsiTheme="majorHAnsi" w:cs="Times New Roman"/>
          <w:sz w:val="24"/>
          <w:szCs w:val="24"/>
        </w:rPr>
        <w:t xml:space="preserve"> se nejdále od místa havárie</w:t>
      </w:r>
      <w:r w:rsidR="00793135">
        <w:rPr>
          <w:rFonts w:asciiTheme="majorHAnsi" w:hAnsiTheme="majorHAnsi" w:cs="Times New Roman"/>
          <w:sz w:val="24"/>
          <w:szCs w:val="24"/>
        </w:rPr>
        <w:t>.</w:t>
      </w:r>
    </w:p>
    <w:p w:rsidR="00F93470" w:rsidRDefault="00F93470" w:rsidP="00F93470">
      <w:pPr>
        <w:pStyle w:val="Odstavecseseznamem"/>
        <w:numPr>
          <w:ilvl w:val="0"/>
          <w:numId w:val="1"/>
        </w:numPr>
        <w:jc w:val="both"/>
        <w:rPr>
          <w:rFonts w:asciiTheme="majorHAnsi" w:hAnsiTheme="majorHAnsi" w:cs="Times New Roman"/>
          <w:sz w:val="24"/>
          <w:szCs w:val="24"/>
        </w:rPr>
      </w:pPr>
      <w:r>
        <w:rPr>
          <w:rFonts w:asciiTheme="majorHAnsi" w:hAnsiTheme="majorHAnsi" w:cs="Times New Roman"/>
          <w:sz w:val="24"/>
          <w:szCs w:val="24"/>
        </w:rPr>
        <w:t>Zachov</w:t>
      </w:r>
      <w:r w:rsidR="00793135">
        <w:rPr>
          <w:rFonts w:asciiTheme="majorHAnsi" w:hAnsiTheme="majorHAnsi" w:cs="Times New Roman"/>
          <w:sz w:val="24"/>
          <w:szCs w:val="24"/>
        </w:rPr>
        <w:t>ejte</w:t>
      </w:r>
      <w:r>
        <w:rPr>
          <w:rFonts w:asciiTheme="majorHAnsi" w:hAnsiTheme="majorHAnsi" w:cs="Times New Roman"/>
          <w:sz w:val="24"/>
          <w:szCs w:val="24"/>
        </w:rPr>
        <w:t xml:space="preserve"> klid a nepodléh</w:t>
      </w:r>
      <w:r w:rsidR="00793135">
        <w:rPr>
          <w:rFonts w:asciiTheme="majorHAnsi" w:hAnsiTheme="majorHAnsi" w:cs="Times New Roman"/>
          <w:sz w:val="24"/>
          <w:szCs w:val="24"/>
        </w:rPr>
        <w:t>ejte</w:t>
      </w:r>
      <w:r>
        <w:rPr>
          <w:rFonts w:asciiTheme="majorHAnsi" w:hAnsiTheme="majorHAnsi" w:cs="Times New Roman"/>
          <w:sz w:val="24"/>
          <w:szCs w:val="24"/>
        </w:rPr>
        <w:t xml:space="preserve"> panice</w:t>
      </w:r>
      <w:r w:rsidR="00793135">
        <w:rPr>
          <w:rFonts w:asciiTheme="majorHAnsi" w:hAnsiTheme="majorHAnsi" w:cs="Times New Roman"/>
          <w:sz w:val="24"/>
          <w:szCs w:val="24"/>
        </w:rPr>
        <w:t>.</w:t>
      </w:r>
    </w:p>
    <w:p w:rsidR="00793135" w:rsidRDefault="00793135" w:rsidP="00F93470">
      <w:pPr>
        <w:pStyle w:val="Odstavecseseznamem"/>
        <w:numPr>
          <w:ilvl w:val="0"/>
          <w:numId w:val="1"/>
        </w:numPr>
        <w:jc w:val="both"/>
        <w:rPr>
          <w:rFonts w:asciiTheme="majorHAnsi" w:hAnsiTheme="majorHAnsi" w:cs="Times New Roman"/>
          <w:sz w:val="24"/>
          <w:szCs w:val="24"/>
        </w:rPr>
      </w:pPr>
      <w:r>
        <w:rPr>
          <w:rFonts w:asciiTheme="majorHAnsi" w:hAnsiTheme="majorHAnsi" w:cs="Times New Roman"/>
          <w:sz w:val="24"/>
          <w:szCs w:val="24"/>
        </w:rPr>
        <w:t>Vyhledejte vhodný úkryt v budovách na straně odvrácené od havárie, pokud cestujete automobilem, zaparkujte a vyhledejte úkryt v nejbližší budově.</w:t>
      </w:r>
    </w:p>
    <w:p w:rsidR="00793135" w:rsidRDefault="00793135" w:rsidP="00F93470">
      <w:pPr>
        <w:pStyle w:val="Odstavecseseznamem"/>
        <w:numPr>
          <w:ilvl w:val="0"/>
          <w:numId w:val="1"/>
        </w:numPr>
        <w:jc w:val="both"/>
        <w:rPr>
          <w:rFonts w:asciiTheme="majorHAnsi" w:hAnsiTheme="majorHAnsi" w:cs="Times New Roman"/>
          <w:sz w:val="24"/>
          <w:szCs w:val="24"/>
        </w:rPr>
      </w:pPr>
      <w:r>
        <w:rPr>
          <w:rFonts w:asciiTheme="majorHAnsi" w:hAnsiTheme="majorHAnsi" w:cs="Times New Roman"/>
          <w:sz w:val="24"/>
          <w:szCs w:val="24"/>
        </w:rPr>
        <w:t>Neukrývejte se ve sklepních a suterénních prostorách! Škodliviny jsou těžší než vzduch, je lépe se přesunout do vyšších pater.</w:t>
      </w:r>
    </w:p>
    <w:p w:rsidR="00731B38" w:rsidRDefault="00731B38" w:rsidP="00F93470">
      <w:pPr>
        <w:pStyle w:val="Odstavecseseznamem"/>
        <w:numPr>
          <w:ilvl w:val="0"/>
          <w:numId w:val="1"/>
        </w:numPr>
        <w:jc w:val="both"/>
        <w:rPr>
          <w:rFonts w:asciiTheme="majorHAnsi" w:hAnsiTheme="majorHAnsi" w:cs="Times New Roman"/>
          <w:sz w:val="24"/>
          <w:szCs w:val="24"/>
        </w:rPr>
      </w:pPr>
      <w:r>
        <w:rPr>
          <w:rFonts w:asciiTheme="majorHAnsi" w:hAnsiTheme="majorHAnsi" w:cs="Times New Roman"/>
          <w:sz w:val="24"/>
          <w:szCs w:val="24"/>
        </w:rPr>
        <w:t>Uzavřete a utěsněte okna, dveře a další otvory.</w:t>
      </w:r>
    </w:p>
    <w:p w:rsidR="00731B38" w:rsidRDefault="00731B38" w:rsidP="00F93470">
      <w:pPr>
        <w:pStyle w:val="Odstavecseseznamem"/>
        <w:numPr>
          <w:ilvl w:val="0"/>
          <w:numId w:val="1"/>
        </w:numPr>
        <w:jc w:val="both"/>
        <w:rPr>
          <w:rFonts w:asciiTheme="majorHAnsi" w:hAnsiTheme="majorHAnsi" w:cs="Times New Roman"/>
          <w:sz w:val="24"/>
          <w:szCs w:val="24"/>
        </w:rPr>
      </w:pPr>
      <w:r>
        <w:rPr>
          <w:rFonts w:asciiTheme="majorHAnsi" w:hAnsiTheme="majorHAnsi" w:cs="Times New Roman"/>
          <w:sz w:val="24"/>
          <w:szCs w:val="24"/>
        </w:rPr>
        <w:t>Vypněte ventilaci.</w:t>
      </w:r>
    </w:p>
    <w:p w:rsidR="00731B38" w:rsidRDefault="00731B38" w:rsidP="00F93470">
      <w:pPr>
        <w:pStyle w:val="Odstavecseseznamem"/>
        <w:numPr>
          <w:ilvl w:val="0"/>
          <w:numId w:val="1"/>
        </w:numPr>
        <w:jc w:val="both"/>
        <w:rPr>
          <w:rFonts w:asciiTheme="majorHAnsi" w:hAnsiTheme="majorHAnsi" w:cs="Times New Roman"/>
          <w:sz w:val="24"/>
          <w:szCs w:val="24"/>
        </w:rPr>
      </w:pPr>
      <w:r>
        <w:rPr>
          <w:rFonts w:asciiTheme="majorHAnsi" w:hAnsiTheme="majorHAnsi" w:cs="Times New Roman"/>
          <w:sz w:val="24"/>
          <w:szCs w:val="24"/>
        </w:rPr>
        <w:t>Sledujte zprávy v hromadných informačních prostředcích.</w:t>
      </w:r>
    </w:p>
    <w:p w:rsidR="00731B38" w:rsidRDefault="00F93470" w:rsidP="00731B38">
      <w:pPr>
        <w:pStyle w:val="Odstavecseseznamem"/>
        <w:numPr>
          <w:ilvl w:val="0"/>
          <w:numId w:val="1"/>
        </w:numPr>
        <w:jc w:val="both"/>
        <w:rPr>
          <w:rFonts w:asciiTheme="majorHAnsi" w:hAnsiTheme="majorHAnsi" w:cs="Times New Roman"/>
          <w:sz w:val="24"/>
          <w:szCs w:val="24"/>
        </w:rPr>
      </w:pPr>
      <w:r>
        <w:rPr>
          <w:rFonts w:asciiTheme="majorHAnsi" w:hAnsiTheme="majorHAnsi" w:cs="Times New Roman"/>
          <w:sz w:val="24"/>
          <w:szCs w:val="24"/>
        </w:rPr>
        <w:t>Ř</w:t>
      </w:r>
      <w:r w:rsidR="00731B38">
        <w:rPr>
          <w:rFonts w:asciiTheme="majorHAnsi" w:hAnsiTheme="majorHAnsi" w:cs="Times New Roman"/>
          <w:sz w:val="24"/>
          <w:szCs w:val="24"/>
        </w:rPr>
        <w:t>iďte</w:t>
      </w:r>
      <w:r>
        <w:rPr>
          <w:rFonts w:asciiTheme="majorHAnsi" w:hAnsiTheme="majorHAnsi" w:cs="Times New Roman"/>
          <w:sz w:val="24"/>
          <w:szCs w:val="24"/>
        </w:rPr>
        <w:t xml:space="preserve"> se pokyny složek IZS a orgánů samosprávy a státní správy</w:t>
      </w:r>
      <w:r w:rsidR="00731B38">
        <w:rPr>
          <w:rFonts w:asciiTheme="majorHAnsi" w:hAnsiTheme="majorHAnsi" w:cs="Times New Roman"/>
          <w:sz w:val="24"/>
          <w:szCs w:val="24"/>
        </w:rPr>
        <w:t>.</w:t>
      </w:r>
    </w:p>
    <w:p w:rsidR="00731B38" w:rsidRPr="00731B38" w:rsidRDefault="00731B38" w:rsidP="00731B38">
      <w:pPr>
        <w:jc w:val="both"/>
        <w:rPr>
          <w:rFonts w:asciiTheme="majorHAnsi" w:hAnsiTheme="majorHAnsi" w:cs="Times New Roman"/>
          <w:sz w:val="24"/>
          <w:szCs w:val="24"/>
          <w:u w:val="single"/>
        </w:rPr>
      </w:pPr>
      <w:r w:rsidRPr="00731B38">
        <w:rPr>
          <w:rFonts w:asciiTheme="majorHAnsi" w:hAnsiTheme="majorHAnsi" w:cs="Times New Roman"/>
          <w:sz w:val="24"/>
          <w:szCs w:val="24"/>
          <w:u w:val="single"/>
        </w:rPr>
        <w:t>Všichni občané v místě zásahu jsou povinni uposlechnout pokynů velitele zásahu.</w:t>
      </w:r>
    </w:p>
    <w:p w:rsidR="00F93470" w:rsidRDefault="00F93470" w:rsidP="00F93470">
      <w:pPr>
        <w:jc w:val="both"/>
        <w:rPr>
          <w:rFonts w:asciiTheme="majorHAnsi" w:hAnsiTheme="majorHAnsi" w:cs="Times New Roman"/>
          <w:sz w:val="24"/>
          <w:szCs w:val="24"/>
        </w:rPr>
      </w:pPr>
    </w:p>
    <w:p w:rsidR="00CC2219" w:rsidRDefault="00CC2219" w:rsidP="00CC2219">
      <w:pPr>
        <w:jc w:val="both"/>
        <w:rPr>
          <w:rFonts w:asciiTheme="majorHAnsi" w:hAnsiTheme="majorHAnsi" w:cs="Times New Roman"/>
          <w:sz w:val="24"/>
          <w:szCs w:val="24"/>
        </w:rPr>
      </w:pPr>
      <w:r>
        <w:rPr>
          <w:rFonts w:asciiTheme="majorHAnsi" w:hAnsiTheme="majorHAnsi" w:cs="Times New Roman"/>
          <w:sz w:val="24"/>
          <w:szCs w:val="24"/>
        </w:rPr>
        <w:lastRenderedPageBreak/>
        <w:t xml:space="preserve">8. Provozovatel plní povinnosti dané zákonem o prevenci závažných havárií, má zpracovanou a schválenou bezpečnostní dokumentaci, která popisuje žádoucí chování provozovatele a všech zúčastněných při závažné havárii uvnitř i vně objektu a má uzavřenou smlouvu o pojištění odpovědnosti za vzniklé škody v souvislosti s užíváním objektů a zařízení v areálu výrobního závodu. </w:t>
      </w:r>
    </w:p>
    <w:p w:rsidR="00731B38" w:rsidRDefault="00731B38" w:rsidP="00CC2219">
      <w:pPr>
        <w:jc w:val="both"/>
        <w:rPr>
          <w:rFonts w:asciiTheme="majorHAnsi" w:hAnsiTheme="majorHAnsi" w:cs="Times New Roman"/>
          <w:sz w:val="24"/>
          <w:szCs w:val="24"/>
        </w:rPr>
      </w:pPr>
      <w:r>
        <w:rPr>
          <w:rFonts w:asciiTheme="majorHAnsi" w:hAnsiTheme="majorHAnsi" w:cs="Times New Roman"/>
          <w:sz w:val="24"/>
          <w:szCs w:val="24"/>
        </w:rPr>
        <w:t xml:space="preserve">Pro objekty společnosti DIAMO, </w:t>
      </w:r>
      <w:proofErr w:type="spellStart"/>
      <w:proofErr w:type="gramStart"/>
      <w:r>
        <w:rPr>
          <w:rFonts w:asciiTheme="majorHAnsi" w:hAnsiTheme="majorHAnsi" w:cs="Times New Roman"/>
          <w:sz w:val="24"/>
          <w:szCs w:val="24"/>
        </w:rPr>
        <w:t>s.p</w:t>
      </w:r>
      <w:proofErr w:type="spellEnd"/>
      <w:r>
        <w:rPr>
          <w:rFonts w:asciiTheme="majorHAnsi" w:hAnsiTheme="majorHAnsi" w:cs="Times New Roman"/>
          <w:sz w:val="24"/>
          <w:szCs w:val="24"/>
        </w:rPr>
        <w:t>.</w:t>
      </w:r>
      <w:proofErr w:type="gramEnd"/>
      <w:r>
        <w:rPr>
          <w:rFonts w:asciiTheme="majorHAnsi" w:hAnsiTheme="majorHAnsi" w:cs="Times New Roman"/>
          <w:sz w:val="24"/>
          <w:szCs w:val="24"/>
        </w:rPr>
        <w:t xml:space="preserve">, </w:t>
      </w:r>
      <w:proofErr w:type="spellStart"/>
      <w:r>
        <w:rPr>
          <w:rFonts w:asciiTheme="majorHAnsi" w:hAnsiTheme="majorHAnsi" w:cs="Times New Roman"/>
          <w:sz w:val="24"/>
          <w:szCs w:val="24"/>
        </w:rPr>
        <w:t>o.z</w:t>
      </w:r>
      <w:proofErr w:type="spellEnd"/>
      <w:r>
        <w:rPr>
          <w:rFonts w:asciiTheme="majorHAnsi" w:hAnsiTheme="majorHAnsi" w:cs="Times New Roman"/>
          <w:sz w:val="24"/>
          <w:szCs w:val="24"/>
        </w:rPr>
        <w:t>. TÚU, kde se nakládá s nebezpečnými chemickými látkami, je stanovena zóna havarijního plánování a vypracován a schválen Vnější havarijní plán. Ten obsahuje plánování a řízení postupu složek integrovaného záchranného systému a je závazným dokumentem pro všechny obce, správní úřady a fyzické a právnické osoby nacházející se v zóně havarijního plánování.</w:t>
      </w:r>
    </w:p>
    <w:p w:rsidR="002A5B3C" w:rsidRPr="00C25ACB" w:rsidRDefault="002A5B3C" w:rsidP="002A5B3C">
      <w:pPr>
        <w:spacing w:after="0"/>
        <w:jc w:val="both"/>
        <w:rPr>
          <w:rFonts w:asciiTheme="majorHAnsi" w:hAnsiTheme="majorHAnsi" w:cs="Times New Roman"/>
          <w:sz w:val="24"/>
          <w:szCs w:val="24"/>
        </w:rPr>
      </w:pPr>
      <w:r>
        <w:rPr>
          <w:rFonts w:asciiTheme="majorHAnsi" w:hAnsiTheme="majorHAnsi" w:cs="Times New Roman"/>
          <w:sz w:val="24"/>
          <w:szCs w:val="24"/>
        </w:rPr>
        <w:t>Zařízení</w:t>
      </w:r>
      <w:r w:rsidRPr="00C25ACB">
        <w:rPr>
          <w:rFonts w:asciiTheme="majorHAnsi" w:hAnsiTheme="majorHAnsi" w:cs="Times New Roman"/>
          <w:sz w:val="24"/>
          <w:szCs w:val="24"/>
        </w:rPr>
        <w:t xml:space="preserve">  je pravidelně kontrolován</w:t>
      </w:r>
      <w:r>
        <w:rPr>
          <w:rFonts w:asciiTheme="majorHAnsi" w:hAnsiTheme="majorHAnsi" w:cs="Times New Roman"/>
          <w:sz w:val="24"/>
          <w:szCs w:val="24"/>
        </w:rPr>
        <w:t>o</w:t>
      </w:r>
      <w:r w:rsidRPr="00C25ACB">
        <w:rPr>
          <w:rFonts w:asciiTheme="majorHAnsi" w:hAnsiTheme="majorHAnsi" w:cs="Times New Roman"/>
          <w:sz w:val="24"/>
          <w:szCs w:val="24"/>
        </w:rPr>
        <w:t xml:space="preserve"> orgány integrované inspekce (Česká inspekce životního prostředí, Krajská hygienická stanice, Hasičský záchranný sbor, Oblastní inspektorát práce, krajský úřad)</w:t>
      </w:r>
      <w:bookmarkStart w:id="0" w:name="_GoBack"/>
      <w:bookmarkEnd w:id="0"/>
      <w:r>
        <w:rPr>
          <w:rFonts w:asciiTheme="majorHAnsi" w:hAnsiTheme="majorHAnsi" w:cs="Times New Roman"/>
          <w:sz w:val="24"/>
          <w:szCs w:val="24"/>
        </w:rPr>
        <w:t>.</w:t>
      </w:r>
    </w:p>
    <w:p w:rsidR="002A5B3C" w:rsidRPr="00C25ACB" w:rsidRDefault="002A5B3C" w:rsidP="002A5B3C">
      <w:pPr>
        <w:spacing w:after="0"/>
        <w:jc w:val="both"/>
        <w:rPr>
          <w:rFonts w:asciiTheme="majorHAnsi" w:hAnsiTheme="majorHAnsi" w:cs="Times New Roman"/>
          <w:sz w:val="24"/>
          <w:szCs w:val="24"/>
        </w:rPr>
      </w:pPr>
      <w:r w:rsidRPr="00C25ACB">
        <w:rPr>
          <w:rFonts w:asciiTheme="majorHAnsi" w:hAnsiTheme="majorHAnsi" w:cs="Times New Roman"/>
          <w:sz w:val="24"/>
          <w:szCs w:val="24"/>
        </w:rPr>
        <w:t>Podrobnější informace lze dle zákona č. 123/1998 Sb., o právu na informace o životním prostředí, ve znění pozdějších předpisů, získat na Krajském úřadě Libereckého kraje, odboru životního prostředí a zemědělství a dále u orgánů, které se podílejí na integrované inspekci zařízení.</w:t>
      </w:r>
    </w:p>
    <w:p w:rsidR="002A5B3C" w:rsidRPr="00CC2219" w:rsidRDefault="002A5B3C" w:rsidP="00CC2219">
      <w:pPr>
        <w:jc w:val="both"/>
        <w:rPr>
          <w:rFonts w:asciiTheme="majorHAnsi" w:hAnsiTheme="majorHAnsi" w:cs="Times New Roman"/>
          <w:sz w:val="24"/>
          <w:szCs w:val="24"/>
        </w:rPr>
      </w:pPr>
    </w:p>
    <w:p w:rsidR="00F93470" w:rsidRPr="00F93470" w:rsidRDefault="00F93470" w:rsidP="00F93470">
      <w:pPr>
        <w:jc w:val="both"/>
        <w:rPr>
          <w:rFonts w:asciiTheme="majorHAnsi" w:hAnsiTheme="majorHAnsi" w:cs="Times New Roman"/>
          <w:sz w:val="24"/>
          <w:szCs w:val="24"/>
        </w:rPr>
      </w:pPr>
    </w:p>
    <w:p w:rsidR="003B422E" w:rsidRPr="003B422E" w:rsidRDefault="003B422E" w:rsidP="003B422E">
      <w:pPr>
        <w:rPr>
          <w:rFonts w:ascii="Times New Roman" w:hAnsi="Times New Roman" w:cs="Times New Roman"/>
          <w:sz w:val="24"/>
          <w:szCs w:val="24"/>
        </w:rPr>
      </w:pPr>
    </w:p>
    <w:sectPr w:rsidR="003B422E" w:rsidRPr="003B422E">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7968" w:rsidRDefault="00E07968" w:rsidP="00CC2219">
      <w:pPr>
        <w:spacing w:after="0" w:line="240" w:lineRule="auto"/>
      </w:pPr>
      <w:r>
        <w:separator/>
      </w:r>
    </w:p>
  </w:endnote>
  <w:endnote w:type="continuationSeparator" w:id="0">
    <w:p w:rsidR="00E07968" w:rsidRDefault="00E07968" w:rsidP="00CC22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2219" w:rsidRDefault="00CC2219">
    <w:pPr>
      <w:pStyle w:val="Zpat"/>
    </w:pPr>
    <w:r>
      <w:t xml:space="preserve">Informace pro veřejnost pro objekty zařazené do skupiny B                       </w:t>
    </w:r>
    <w:r w:rsidR="00794CA7">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7968" w:rsidRDefault="00E07968" w:rsidP="00CC2219">
      <w:pPr>
        <w:spacing w:after="0" w:line="240" w:lineRule="auto"/>
      </w:pPr>
      <w:r>
        <w:separator/>
      </w:r>
    </w:p>
  </w:footnote>
  <w:footnote w:type="continuationSeparator" w:id="0">
    <w:p w:rsidR="00E07968" w:rsidRDefault="00E07968" w:rsidP="00CC221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01ED4"/>
    <w:multiLevelType w:val="hybridMultilevel"/>
    <w:tmpl w:val="90E0587C"/>
    <w:lvl w:ilvl="0" w:tplc="2EDC0BFE">
      <w:start w:val="2"/>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22E"/>
    <w:rsid w:val="000B4890"/>
    <w:rsid w:val="000C4E60"/>
    <w:rsid w:val="00122581"/>
    <w:rsid w:val="001A168F"/>
    <w:rsid w:val="002A5B3C"/>
    <w:rsid w:val="003B422E"/>
    <w:rsid w:val="003C49E9"/>
    <w:rsid w:val="004C0577"/>
    <w:rsid w:val="004D12B2"/>
    <w:rsid w:val="0056441E"/>
    <w:rsid w:val="005954DB"/>
    <w:rsid w:val="00596B80"/>
    <w:rsid w:val="006534B2"/>
    <w:rsid w:val="00694867"/>
    <w:rsid w:val="007170F3"/>
    <w:rsid w:val="0072515A"/>
    <w:rsid w:val="00731B38"/>
    <w:rsid w:val="00743FCA"/>
    <w:rsid w:val="007466A8"/>
    <w:rsid w:val="0077254D"/>
    <w:rsid w:val="00793135"/>
    <w:rsid w:val="00793E0E"/>
    <w:rsid w:val="00794CA7"/>
    <w:rsid w:val="007F6FB3"/>
    <w:rsid w:val="008561FF"/>
    <w:rsid w:val="00920304"/>
    <w:rsid w:val="00927B6E"/>
    <w:rsid w:val="00AA0838"/>
    <w:rsid w:val="00AD5544"/>
    <w:rsid w:val="00B142C9"/>
    <w:rsid w:val="00B34372"/>
    <w:rsid w:val="00B9071A"/>
    <w:rsid w:val="00BA0DEB"/>
    <w:rsid w:val="00C2421A"/>
    <w:rsid w:val="00CC2219"/>
    <w:rsid w:val="00CC4A5E"/>
    <w:rsid w:val="00DF1C4C"/>
    <w:rsid w:val="00DF62B2"/>
    <w:rsid w:val="00DF646B"/>
    <w:rsid w:val="00E07968"/>
    <w:rsid w:val="00EA14B5"/>
    <w:rsid w:val="00F93470"/>
    <w:rsid w:val="00FF462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FF4622"/>
    <w:pPr>
      <w:ind w:left="720"/>
      <w:contextualSpacing/>
    </w:pPr>
  </w:style>
  <w:style w:type="table" w:styleId="Mkatabulky">
    <w:name w:val="Table Grid"/>
    <w:basedOn w:val="Normlntabulka"/>
    <w:uiPriority w:val="59"/>
    <w:rsid w:val="00AA08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CC221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C2219"/>
  </w:style>
  <w:style w:type="paragraph" w:styleId="Zpat">
    <w:name w:val="footer"/>
    <w:basedOn w:val="Normln"/>
    <w:link w:val="ZpatChar"/>
    <w:uiPriority w:val="99"/>
    <w:unhideWhenUsed/>
    <w:rsid w:val="00CC2219"/>
    <w:pPr>
      <w:tabs>
        <w:tab w:val="center" w:pos="4536"/>
        <w:tab w:val="right" w:pos="9072"/>
      </w:tabs>
      <w:spacing w:after="0" w:line="240" w:lineRule="auto"/>
    </w:pPr>
  </w:style>
  <w:style w:type="character" w:customStyle="1" w:styleId="ZpatChar">
    <w:name w:val="Zápatí Char"/>
    <w:basedOn w:val="Standardnpsmoodstavce"/>
    <w:link w:val="Zpat"/>
    <w:uiPriority w:val="99"/>
    <w:rsid w:val="00CC2219"/>
  </w:style>
  <w:style w:type="paragraph" w:styleId="Textbubliny">
    <w:name w:val="Balloon Text"/>
    <w:basedOn w:val="Normln"/>
    <w:link w:val="TextbublinyChar"/>
    <w:uiPriority w:val="99"/>
    <w:semiHidden/>
    <w:unhideWhenUsed/>
    <w:rsid w:val="00CC221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C221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FF4622"/>
    <w:pPr>
      <w:ind w:left="720"/>
      <w:contextualSpacing/>
    </w:pPr>
  </w:style>
  <w:style w:type="table" w:styleId="Mkatabulky">
    <w:name w:val="Table Grid"/>
    <w:basedOn w:val="Normlntabulka"/>
    <w:uiPriority w:val="59"/>
    <w:rsid w:val="00AA08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CC221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C2219"/>
  </w:style>
  <w:style w:type="paragraph" w:styleId="Zpat">
    <w:name w:val="footer"/>
    <w:basedOn w:val="Normln"/>
    <w:link w:val="ZpatChar"/>
    <w:uiPriority w:val="99"/>
    <w:unhideWhenUsed/>
    <w:rsid w:val="00CC2219"/>
    <w:pPr>
      <w:tabs>
        <w:tab w:val="center" w:pos="4536"/>
        <w:tab w:val="right" w:pos="9072"/>
      </w:tabs>
      <w:spacing w:after="0" w:line="240" w:lineRule="auto"/>
    </w:pPr>
  </w:style>
  <w:style w:type="character" w:customStyle="1" w:styleId="ZpatChar">
    <w:name w:val="Zápatí Char"/>
    <w:basedOn w:val="Standardnpsmoodstavce"/>
    <w:link w:val="Zpat"/>
    <w:uiPriority w:val="99"/>
    <w:rsid w:val="00CC2219"/>
  </w:style>
  <w:style w:type="paragraph" w:styleId="Textbubliny">
    <w:name w:val="Balloon Text"/>
    <w:basedOn w:val="Normln"/>
    <w:link w:val="TextbublinyChar"/>
    <w:uiPriority w:val="99"/>
    <w:semiHidden/>
    <w:unhideWhenUsed/>
    <w:rsid w:val="00CC221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C221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758</Words>
  <Characters>4479</Characters>
  <Application>Microsoft Office Word</Application>
  <DocSecurity>0</DocSecurity>
  <Lines>37</Lines>
  <Paragraphs>10</Paragraphs>
  <ScaleCrop>false</ScaleCrop>
  <HeadingPairs>
    <vt:vector size="2" baseType="variant">
      <vt:variant>
        <vt:lpstr>Název</vt:lpstr>
      </vt:variant>
      <vt:variant>
        <vt:i4>1</vt:i4>
      </vt:variant>
    </vt:vector>
  </HeadingPairs>
  <TitlesOfParts>
    <vt:vector size="1" baseType="lpstr">
      <vt:lpstr/>
    </vt:vector>
  </TitlesOfParts>
  <Company>Krajský úřad Libereckého kraje</Company>
  <LinksUpToDate>false</LinksUpToDate>
  <CharactersWithSpaces>5227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Svacinkova Katerina</dc:creator>
  <cp:lastModifiedBy>Švecová Pavlína</cp:lastModifiedBy>
  <cp:revision>3</cp:revision>
  <dcterms:created xsi:type="dcterms:W3CDTF">2019-12-05T07:37:00Z</dcterms:created>
  <dcterms:modified xsi:type="dcterms:W3CDTF">2019-12-05T07:40:00Z</dcterms:modified>
</cp:coreProperties>
</file>